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D9D" w:rsidRPr="00FB081E" w:rsidRDefault="00987D9D" w:rsidP="00987D9D">
      <w:pPr>
        <w:spacing w:after="120"/>
        <w:jc w:val="center"/>
        <w:rPr>
          <w:b/>
          <w:lang w:eastAsia="x-none"/>
        </w:rPr>
      </w:pPr>
      <w:r w:rsidRPr="00FB081E">
        <w:rPr>
          <w:b/>
          <w:lang w:eastAsia="x-none"/>
        </w:rPr>
        <w:t xml:space="preserve">FŐÉPÍTÉSZI </w:t>
      </w:r>
      <w:r>
        <w:rPr>
          <w:b/>
          <w:lang w:eastAsia="x-none"/>
        </w:rPr>
        <w:t>SZAKMAI ÖSSZEFOGLALÓ</w:t>
      </w:r>
    </w:p>
    <w:p w:rsidR="00987D9D" w:rsidRPr="00FB081E" w:rsidRDefault="00987D9D" w:rsidP="00987D9D">
      <w:pPr>
        <w:spacing w:after="120"/>
        <w:jc w:val="center"/>
        <w:rPr>
          <w:b/>
          <w:i/>
          <w:color w:val="000000"/>
        </w:rPr>
      </w:pPr>
      <w:proofErr w:type="gramStart"/>
      <w:r w:rsidRPr="007F65B0">
        <w:rPr>
          <w:b/>
          <w:i/>
          <w:color w:val="000000"/>
        </w:rPr>
        <w:t>a</w:t>
      </w:r>
      <w:proofErr w:type="gramEnd"/>
      <w:r w:rsidRPr="007F65B0">
        <w:rPr>
          <w:b/>
          <w:i/>
          <w:color w:val="000000"/>
        </w:rPr>
        <w:t xml:space="preserve"> településtervek tartalmáról, elkészítésének és elfogadásának rendjéről, valamint egyes településrendezési sajátos jogintézményekről </w:t>
      </w:r>
      <w:r>
        <w:rPr>
          <w:b/>
          <w:i/>
          <w:color w:val="000000"/>
        </w:rPr>
        <w:t xml:space="preserve">szóló </w:t>
      </w:r>
      <w:r w:rsidRPr="00FB081E">
        <w:rPr>
          <w:b/>
          <w:i/>
          <w:color w:val="000000"/>
        </w:rPr>
        <w:t xml:space="preserve">419/2021. (VII. 15.) Korm. rendelet </w:t>
      </w:r>
      <w:r>
        <w:rPr>
          <w:b/>
          <w:i/>
          <w:color w:val="000000"/>
        </w:rPr>
        <w:t>9</w:t>
      </w:r>
      <w:r w:rsidRPr="00FB081E">
        <w:rPr>
          <w:b/>
          <w:i/>
          <w:color w:val="000000"/>
        </w:rPr>
        <w:t>. §</w:t>
      </w:r>
      <w:r>
        <w:rPr>
          <w:b/>
          <w:i/>
          <w:color w:val="000000"/>
        </w:rPr>
        <w:t>-</w:t>
      </w:r>
      <w:proofErr w:type="spellStart"/>
      <w:r>
        <w:rPr>
          <w:b/>
          <w:i/>
          <w:color w:val="000000"/>
        </w:rPr>
        <w:t>ban</w:t>
      </w:r>
      <w:proofErr w:type="spellEnd"/>
      <w:r w:rsidRPr="00FB081E">
        <w:rPr>
          <w:b/>
          <w:i/>
          <w:color w:val="000000"/>
        </w:rPr>
        <w:t xml:space="preserve"> foglaltakhoz</w:t>
      </w:r>
    </w:p>
    <w:p w:rsidR="00987D9D" w:rsidRPr="00FB081E" w:rsidRDefault="00987D9D" w:rsidP="00987D9D">
      <w:pPr>
        <w:spacing w:after="120"/>
        <w:jc w:val="center"/>
        <w:rPr>
          <w:lang w:eastAsia="x-none"/>
        </w:rPr>
      </w:pPr>
      <w:proofErr w:type="gramStart"/>
      <w:r>
        <w:rPr>
          <w:b/>
          <w:bCs/>
          <w:lang w:eastAsia="x-none"/>
        </w:rPr>
        <w:t>a</w:t>
      </w:r>
      <w:proofErr w:type="gramEnd"/>
      <w:r w:rsidRPr="005623B8">
        <w:rPr>
          <w:b/>
          <w:bCs/>
          <w:lang w:eastAsia="x-none"/>
        </w:rPr>
        <w:t xml:space="preserve"> </w:t>
      </w:r>
      <w:r>
        <w:rPr>
          <w:b/>
          <w:bCs/>
          <w:lang w:eastAsia="x-none"/>
        </w:rPr>
        <w:t xml:space="preserve">Dunakeszi Képviselő-testületének </w:t>
      </w:r>
      <w:r w:rsidRPr="00BE2EBD">
        <w:rPr>
          <w:b/>
          <w:bCs/>
          <w:i/>
          <w:lang w:eastAsia="x-none"/>
        </w:rPr>
        <w:t>a településkép védelméről</w:t>
      </w:r>
      <w:r>
        <w:rPr>
          <w:b/>
          <w:bCs/>
          <w:lang w:eastAsia="x-none"/>
        </w:rPr>
        <w:t xml:space="preserve"> szóló 27/2017. (XII.15.) számú önkormányzati rendelet módosításának </w:t>
      </w:r>
      <w:r>
        <w:rPr>
          <w:b/>
          <w:lang w:eastAsia="x-none"/>
        </w:rPr>
        <w:t>tervtartalmáról és indoklásáról.</w:t>
      </w:r>
    </w:p>
    <w:p w:rsidR="00987D9D" w:rsidRDefault="00987D9D" w:rsidP="00987D9D">
      <w:pPr>
        <w:spacing w:line="259" w:lineRule="auto"/>
        <w:rPr>
          <w:b/>
          <w:color w:val="000000"/>
          <w:sz w:val="20"/>
          <w:szCs w:val="20"/>
        </w:rPr>
      </w:pP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D80AAC">
        <w:rPr>
          <w:rFonts w:ascii="Calibri" w:eastAsia="Calibri" w:hAnsi="Calibri"/>
          <w:sz w:val="22"/>
          <w:szCs w:val="22"/>
          <w:lang w:eastAsia="en-US"/>
        </w:rPr>
        <w:t>A rendelet módosítását a 2024-es év végén jelentősen megváltozott jogszabályi környezettel való összhang megteremtése érdekében kell elsősorban módosítani. A módosítás</w:t>
      </w:r>
      <w:r>
        <w:rPr>
          <w:rFonts w:ascii="Calibri" w:eastAsia="Calibri" w:hAnsi="Calibri"/>
          <w:sz w:val="22"/>
          <w:szCs w:val="22"/>
          <w:lang w:eastAsia="en-US"/>
        </w:rPr>
        <w:t>ban</w:t>
      </w:r>
      <w:r w:rsidRPr="00D80AAC">
        <w:rPr>
          <w:rFonts w:ascii="Calibri" w:eastAsia="Calibri" w:hAnsi="Calibri"/>
          <w:sz w:val="22"/>
          <w:szCs w:val="22"/>
          <w:lang w:eastAsia="en-US"/>
        </w:rPr>
        <w:t xml:space="preserve"> a Rendelet használata során felmerült, alkalmazást segítő és egyértelműsítő felül</w:t>
      </w:r>
      <w:r>
        <w:rPr>
          <w:rFonts w:ascii="Calibri" w:eastAsia="Calibri" w:hAnsi="Calibri"/>
          <w:sz w:val="22"/>
          <w:szCs w:val="22"/>
          <w:lang w:eastAsia="en-US"/>
        </w:rPr>
        <w:t>vizsgálatot is el kell végezni</w:t>
      </w:r>
      <w:r w:rsidRPr="00D80AAC">
        <w:rPr>
          <w:rFonts w:ascii="Calibri" w:eastAsia="Calibri" w:hAnsi="Calibri"/>
          <w:sz w:val="22"/>
          <w:szCs w:val="22"/>
          <w:lang w:eastAsia="en-US"/>
        </w:rPr>
        <w:t>.</w:t>
      </w:r>
      <w:r>
        <w:rPr>
          <w:rFonts w:ascii="Calibri" w:eastAsia="Calibri" w:hAnsi="Calibri"/>
          <w:sz w:val="22"/>
          <w:szCs w:val="22"/>
          <w:lang w:eastAsia="en-US"/>
        </w:rPr>
        <w:t xml:space="preserve"> A különböző indokok szerinti módosítási pontok az arculati kézikönyvvel összhangban vannak.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sz w:val="22"/>
          <w:szCs w:val="22"/>
          <w:u w:val="single"/>
          <w:lang w:eastAsia="en-US"/>
        </w:rPr>
      </w:pPr>
      <w:r w:rsidRPr="00D80AAC">
        <w:rPr>
          <w:rFonts w:ascii="Calibri" w:eastAsia="Calibri" w:hAnsi="Calibri"/>
          <w:sz w:val="22"/>
          <w:szCs w:val="22"/>
          <w:u w:val="single"/>
          <w:lang w:eastAsia="en-US"/>
        </w:rPr>
        <w:t>A jogszabály változások miatt szükséges módosítások: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D80AAC">
        <w:rPr>
          <w:rFonts w:ascii="Calibri" w:eastAsia="Calibri" w:hAnsi="Calibri"/>
          <w:sz w:val="22"/>
          <w:szCs w:val="22"/>
          <w:lang w:eastAsia="en-US"/>
        </w:rPr>
        <w:t xml:space="preserve"> - A </w:t>
      </w:r>
      <w:r w:rsidRPr="00D80AAC">
        <w:rPr>
          <w:rFonts w:ascii="Calibri" w:eastAsia="Calibri" w:hAnsi="Calibri"/>
          <w:i/>
          <w:sz w:val="22"/>
          <w:szCs w:val="22"/>
          <w:lang w:eastAsia="en-US"/>
        </w:rPr>
        <w:t>magyar építészetről</w:t>
      </w:r>
      <w:r w:rsidRPr="00D80AAC">
        <w:rPr>
          <w:rFonts w:ascii="Calibri" w:eastAsia="Calibri" w:hAnsi="Calibri"/>
          <w:sz w:val="22"/>
          <w:szCs w:val="22"/>
          <w:lang w:eastAsia="en-US"/>
        </w:rPr>
        <w:t xml:space="preserve"> szóló 2023. évi C. tv. </w:t>
      </w:r>
      <w:proofErr w:type="gramStart"/>
      <w:r w:rsidRPr="00D80AAC">
        <w:rPr>
          <w:rFonts w:ascii="Calibri" w:eastAsia="Calibri" w:hAnsi="Calibri"/>
          <w:sz w:val="22"/>
          <w:szCs w:val="22"/>
          <w:lang w:eastAsia="en-US"/>
        </w:rPr>
        <w:t>és</w:t>
      </w:r>
      <w:proofErr w:type="gramEnd"/>
      <w:r w:rsidRPr="00D80AAC">
        <w:rPr>
          <w:rFonts w:ascii="Calibri" w:eastAsia="Calibri" w:hAnsi="Calibri"/>
          <w:sz w:val="22"/>
          <w:szCs w:val="22"/>
          <w:lang w:eastAsia="en-US"/>
        </w:rPr>
        <w:t xml:space="preserve"> a végrehajtására kiadott a reklám és </w:t>
      </w:r>
      <w:r w:rsidRPr="00D80AAC">
        <w:rPr>
          <w:rFonts w:ascii="Calibri" w:eastAsia="Calibri" w:hAnsi="Calibri"/>
          <w:i/>
          <w:sz w:val="22"/>
          <w:szCs w:val="22"/>
          <w:lang w:eastAsia="en-US"/>
        </w:rPr>
        <w:t>a reklámeszköz elhelyezésének szabályairól</w:t>
      </w:r>
      <w:r w:rsidRPr="00D80AAC">
        <w:rPr>
          <w:rFonts w:ascii="Calibri" w:eastAsia="Calibri" w:hAnsi="Calibri"/>
          <w:sz w:val="22"/>
          <w:szCs w:val="22"/>
          <w:lang w:eastAsia="en-US"/>
        </w:rPr>
        <w:t xml:space="preserve"> szóló 476/2024. (XII. 31.) Korm. rendelet </w:t>
      </w:r>
      <w:proofErr w:type="gramStart"/>
      <w:r w:rsidRPr="00D80AAC">
        <w:rPr>
          <w:rFonts w:ascii="Calibri" w:eastAsia="Calibri" w:hAnsi="Calibri"/>
          <w:sz w:val="22"/>
          <w:szCs w:val="22"/>
          <w:lang w:eastAsia="en-US"/>
        </w:rPr>
        <w:t>értelmében</w:t>
      </w:r>
      <w:proofErr w:type="gramEnd"/>
      <w:r w:rsidRPr="00D80AAC">
        <w:rPr>
          <w:rFonts w:ascii="Calibri" w:eastAsia="Calibri" w:hAnsi="Calibri"/>
          <w:sz w:val="22"/>
          <w:szCs w:val="22"/>
          <w:lang w:eastAsia="en-US"/>
        </w:rPr>
        <w:t xml:space="preserve"> a helyi rendeletben reklámokra vonatkozó előírások nem lehetnek: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i/>
          <w:sz w:val="22"/>
          <w:szCs w:val="22"/>
          <w:lang w:eastAsia="en-US"/>
        </w:rPr>
      </w:pPr>
      <w:r w:rsidRPr="00D80AAC">
        <w:rPr>
          <w:rFonts w:ascii="Calibri" w:eastAsia="Calibri" w:hAnsi="Calibri"/>
          <w:i/>
          <w:sz w:val="22"/>
          <w:szCs w:val="22"/>
          <w:lang w:eastAsia="en-US"/>
        </w:rPr>
        <w:t>„102. § [A reklámszabályozás hatálya]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i/>
          <w:sz w:val="22"/>
          <w:szCs w:val="22"/>
          <w:lang w:eastAsia="en-US"/>
        </w:rPr>
      </w:pPr>
      <w:r w:rsidRPr="00D80AAC">
        <w:rPr>
          <w:rFonts w:ascii="Calibri" w:eastAsia="Calibri" w:hAnsi="Calibri"/>
          <w:i/>
          <w:sz w:val="22"/>
          <w:szCs w:val="22"/>
          <w:lang w:eastAsia="en-US"/>
        </w:rPr>
        <w:t xml:space="preserve">(1) E törvény reklámra és reklámeszközre vonatkozó rendelkezései a </w:t>
      </w:r>
      <w:proofErr w:type="spellStart"/>
      <w:r w:rsidRPr="00D80AAC">
        <w:rPr>
          <w:rFonts w:ascii="Calibri" w:eastAsia="Calibri" w:hAnsi="Calibri"/>
          <w:i/>
          <w:sz w:val="22"/>
          <w:szCs w:val="22"/>
          <w:lang w:eastAsia="en-US"/>
        </w:rPr>
        <w:t>Grt</w:t>
      </w:r>
      <w:proofErr w:type="spellEnd"/>
      <w:r w:rsidRPr="00D80AAC">
        <w:rPr>
          <w:rFonts w:ascii="Calibri" w:eastAsia="Calibri" w:hAnsi="Calibri"/>
          <w:i/>
          <w:sz w:val="22"/>
          <w:szCs w:val="22"/>
          <w:lang w:eastAsia="en-US"/>
        </w:rPr>
        <w:t>. 3. § d) pontja szerinti gazdasági reklámra terjednek ki, ide nem értve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i/>
          <w:sz w:val="22"/>
          <w:szCs w:val="22"/>
          <w:lang w:eastAsia="en-US"/>
        </w:rPr>
      </w:pPr>
      <w:r w:rsidRPr="00D80AAC">
        <w:rPr>
          <w:rFonts w:ascii="Calibri" w:eastAsia="Calibri" w:hAnsi="Calibri"/>
          <w:i/>
          <w:sz w:val="22"/>
          <w:szCs w:val="22"/>
          <w:lang w:eastAsia="en-US"/>
        </w:rPr>
        <w:t xml:space="preserve"> </w:t>
      </w:r>
      <w:proofErr w:type="gramStart"/>
      <w:r w:rsidRPr="00D80AAC">
        <w:rPr>
          <w:rFonts w:ascii="Calibri" w:eastAsia="Calibri" w:hAnsi="Calibri"/>
          <w:i/>
          <w:sz w:val="22"/>
          <w:szCs w:val="22"/>
          <w:lang w:eastAsia="en-US"/>
        </w:rPr>
        <w:t>a</w:t>
      </w:r>
      <w:proofErr w:type="gramEnd"/>
      <w:r w:rsidRPr="00D80AAC">
        <w:rPr>
          <w:rFonts w:ascii="Calibri" w:eastAsia="Calibri" w:hAnsi="Calibri"/>
          <w:i/>
          <w:sz w:val="22"/>
          <w:szCs w:val="22"/>
          <w:lang w:eastAsia="en-US"/>
        </w:rPr>
        <w:t>) a cégtáblát, üzletfeliratot, a vállalkozás használatában álló ingatlanon elhelyezett, a vállalkozást népszerűsítő egyéb feliratot és más grafikai megjelenítést, továbbá az üzlethelyiség portáljában – kirakatában – elhelyezett gazdasági reklámot,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i/>
          <w:sz w:val="22"/>
          <w:szCs w:val="22"/>
          <w:lang w:eastAsia="en-US"/>
        </w:rPr>
      </w:pPr>
      <w:r w:rsidRPr="00D80AAC">
        <w:rPr>
          <w:rFonts w:ascii="Calibri" w:eastAsia="Calibri" w:hAnsi="Calibri"/>
          <w:i/>
          <w:sz w:val="22"/>
          <w:szCs w:val="22"/>
          <w:lang w:eastAsia="en-US"/>
        </w:rPr>
        <w:t xml:space="preserve"> b) a járművön elhelyezett gazdasági reklámot, és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i/>
          <w:sz w:val="22"/>
          <w:szCs w:val="22"/>
          <w:lang w:eastAsia="en-US"/>
        </w:rPr>
      </w:pPr>
      <w:r w:rsidRPr="00D80AAC">
        <w:rPr>
          <w:rFonts w:ascii="Calibri" w:eastAsia="Calibri" w:hAnsi="Calibri"/>
          <w:i/>
          <w:sz w:val="22"/>
          <w:szCs w:val="22"/>
          <w:lang w:eastAsia="en-US"/>
        </w:rPr>
        <w:t xml:space="preserve"> c) a tulajdonos által az ingatlanán elhelyezett, annak elidegenítésére vonatkozó ajánlati felhívást, hirdetést, valamint a helyi önkormányzat által lakossági apróhirdetések közzétételének megkönnyítése céljából biztosított táblán vagy egyéb felületen elhelyezett, kisméretű hirdetéseket.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i/>
          <w:sz w:val="22"/>
          <w:szCs w:val="22"/>
          <w:lang w:eastAsia="en-US"/>
        </w:rPr>
      </w:pPr>
      <w:r w:rsidRPr="00D80AAC">
        <w:rPr>
          <w:rFonts w:ascii="Calibri" w:eastAsia="Calibri" w:hAnsi="Calibri"/>
          <w:i/>
          <w:sz w:val="22"/>
          <w:szCs w:val="22"/>
          <w:lang w:eastAsia="en-US"/>
        </w:rPr>
        <w:t>(2) E törvény hatálya kiterjed a reklámnak és reklámeszköznek a közúti közlekedési jogszabályok szerinti közút úttesten kívüli burkolatlan részén és a közút tengelyétől számított 100 méteren belüli elhelyezésére is.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i/>
          <w:sz w:val="22"/>
          <w:szCs w:val="22"/>
          <w:lang w:eastAsia="en-US"/>
        </w:rPr>
      </w:pPr>
      <w:r w:rsidRPr="00D80AAC">
        <w:rPr>
          <w:rFonts w:ascii="Calibri" w:eastAsia="Calibri" w:hAnsi="Calibri"/>
          <w:i/>
          <w:sz w:val="22"/>
          <w:szCs w:val="22"/>
          <w:lang w:eastAsia="en-US"/>
        </w:rPr>
        <w:t xml:space="preserve">(3) E törvény hatálya nem terjed ki a </w:t>
      </w:r>
      <w:proofErr w:type="spellStart"/>
      <w:r w:rsidRPr="00D80AAC">
        <w:rPr>
          <w:rFonts w:ascii="Calibri" w:eastAsia="Calibri" w:hAnsi="Calibri"/>
          <w:i/>
          <w:sz w:val="22"/>
          <w:szCs w:val="22"/>
          <w:lang w:eastAsia="en-US"/>
        </w:rPr>
        <w:t>Vetv</w:t>
      </w:r>
      <w:proofErr w:type="spellEnd"/>
      <w:r w:rsidRPr="00D80AAC">
        <w:rPr>
          <w:rFonts w:ascii="Calibri" w:eastAsia="Calibri" w:hAnsi="Calibri"/>
          <w:i/>
          <w:sz w:val="22"/>
          <w:szCs w:val="22"/>
          <w:lang w:eastAsia="en-US"/>
        </w:rPr>
        <w:t xml:space="preserve">. </w:t>
      </w:r>
      <w:proofErr w:type="gramStart"/>
      <w:r w:rsidRPr="00D80AAC">
        <w:rPr>
          <w:rFonts w:ascii="Calibri" w:eastAsia="Calibri" w:hAnsi="Calibri"/>
          <w:i/>
          <w:sz w:val="22"/>
          <w:szCs w:val="22"/>
          <w:lang w:eastAsia="en-US"/>
        </w:rPr>
        <w:t>szerinti</w:t>
      </w:r>
      <w:proofErr w:type="gramEnd"/>
      <w:r w:rsidRPr="00D80AAC">
        <w:rPr>
          <w:rFonts w:ascii="Calibri" w:eastAsia="Calibri" w:hAnsi="Calibri"/>
          <w:i/>
          <w:sz w:val="22"/>
          <w:szCs w:val="22"/>
          <w:lang w:eastAsia="en-US"/>
        </w:rPr>
        <w:t xml:space="preserve"> politikai reklámra és annak közzétételére.”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D80AAC">
        <w:rPr>
          <w:rFonts w:ascii="Calibri" w:eastAsia="Calibri" w:hAnsi="Calibri"/>
          <w:sz w:val="22"/>
          <w:szCs w:val="22"/>
          <w:lang w:eastAsia="en-US"/>
        </w:rPr>
        <w:t>A Rendeletet ennek megfelelően fogalomhasználatában és a nem szabályozható reklámok tekintetében felül kell vizsgálni. Az önkormányzat által szabályozható üzletfeliratokra gyűjtőfogalomként bevezetésre kerül a „céginformációs tábla” fogalom, az ezekre vonatkozó előírások továbbra is hatályban maradnak. A reklámok elhelyezésére, méretére vonatkozó szabályozások törlésre kerülnek, megmarad viszont a Reklámgazda fogalma, aki jogosult az önkormányzati tulajdonú területeken az engedélyezett reklámok kihelyezésére.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D80AAC">
        <w:rPr>
          <w:rFonts w:ascii="Calibri" w:eastAsia="Calibri" w:hAnsi="Calibri"/>
          <w:sz w:val="22"/>
          <w:szCs w:val="22"/>
          <w:lang w:eastAsia="en-US"/>
        </w:rPr>
        <w:t>- A „nyomtatvány településképi bejelentési eljárást követő, az ingatlan-nyilvántartási átvezetéshez szükséges hatósági bizonyítvány kiállítása iránti kérelemhez” című nyomtatvány módosítása, mivel az építmények felépültének igazolása teljes mértékben az építésügyi hatóság hatáskörébe került.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D80AAC">
        <w:rPr>
          <w:rFonts w:ascii="Calibri" w:eastAsia="Calibri" w:hAnsi="Calibri"/>
          <w:sz w:val="22"/>
          <w:szCs w:val="22"/>
          <w:lang w:eastAsia="en-US"/>
        </w:rPr>
        <w:t xml:space="preserve"> - A Kormányrendelet 13. mellékletében felsorolt építési tevékenységek tekintetében lehet településképi bejelentési eljárást lefolytatni, amelyek a jogszabályváltozás miatt jelenleg nincsenek összhangban a korábbi, így a Rendeletben szereplő tevékenységekkel. Ezért a településképi bejelentéshez kötött építési tevékenységek listájára (Rendelet 46. §-a) a rendelettervezetben leírt javaslatot adom.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D80AAC">
        <w:rPr>
          <w:rFonts w:ascii="Calibri" w:eastAsia="Calibri" w:hAnsi="Calibri"/>
          <w:sz w:val="22"/>
          <w:szCs w:val="22"/>
          <w:lang w:eastAsia="en-US"/>
        </w:rPr>
        <w:t xml:space="preserve"> - A magyar építészetről szóló 2023. évi C. törvény alapján a településkép-védelmi bírság összege jelentősen emelkedett, 200.000 </w:t>
      </w:r>
      <w:proofErr w:type="spellStart"/>
      <w:r w:rsidRPr="00D80AAC">
        <w:rPr>
          <w:rFonts w:ascii="Calibri" w:eastAsia="Calibri" w:hAnsi="Calibri"/>
          <w:sz w:val="22"/>
          <w:szCs w:val="22"/>
          <w:lang w:eastAsia="en-US"/>
        </w:rPr>
        <w:t>forinttől</w:t>
      </w:r>
      <w:proofErr w:type="spellEnd"/>
      <w:r w:rsidRPr="00D80AAC">
        <w:rPr>
          <w:rFonts w:ascii="Calibri" w:eastAsia="Calibri" w:hAnsi="Calibri"/>
          <w:sz w:val="22"/>
          <w:szCs w:val="22"/>
          <w:lang w:eastAsia="en-US"/>
        </w:rPr>
        <w:t xml:space="preserve"> 2.000.000 forintig terjed jelenleg. Ennek megfelelően a Rendelet 48. § (3) bekezdését módosítani kell. Jelenlegi bekezdés: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i/>
          <w:sz w:val="22"/>
          <w:szCs w:val="22"/>
          <w:lang w:eastAsia="en-US"/>
        </w:rPr>
      </w:pPr>
      <w:r w:rsidRPr="00D80AAC">
        <w:rPr>
          <w:rFonts w:ascii="Calibri" w:eastAsia="Calibri" w:hAnsi="Calibri"/>
          <w:i/>
          <w:sz w:val="22"/>
          <w:szCs w:val="22"/>
          <w:lang w:eastAsia="en-US"/>
        </w:rPr>
        <w:lastRenderedPageBreak/>
        <w:t xml:space="preserve">„Az Önkormányzat a településképi rendeletben a (2) bekezdés szerinti településképi követelmények megszegése vagy végre nem hajtása esetére e magatartás elkövetőjével szemben településkép-védelmi bírságot szab ki. A </w:t>
      </w:r>
      <w:proofErr w:type="spellStart"/>
      <w:r w:rsidRPr="00D80AAC">
        <w:rPr>
          <w:rFonts w:ascii="Calibri" w:eastAsia="Calibri" w:hAnsi="Calibri"/>
          <w:i/>
          <w:sz w:val="22"/>
          <w:szCs w:val="22"/>
          <w:lang w:eastAsia="en-US"/>
        </w:rPr>
        <w:t>települékép</w:t>
      </w:r>
      <w:proofErr w:type="spellEnd"/>
      <w:r w:rsidRPr="00D80AAC">
        <w:rPr>
          <w:rFonts w:ascii="Calibri" w:eastAsia="Calibri" w:hAnsi="Calibri"/>
          <w:i/>
          <w:sz w:val="22"/>
          <w:szCs w:val="22"/>
          <w:lang w:eastAsia="en-US"/>
        </w:rPr>
        <w:t xml:space="preserve"> védelmi bírság közigazgatási bírságnak minősül, amelynek legkisebb összege 100 000 Ft.”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D80AAC">
        <w:rPr>
          <w:rFonts w:ascii="Calibri" w:eastAsia="Calibri" w:hAnsi="Calibri"/>
          <w:sz w:val="22"/>
          <w:szCs w:val="22"/>
          <w:lang w:eastAsia="en-US"/>
        </w:rPr>
        <w:t>Módosított bekezdés: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i/>
          <w:sz w:val="22"/>
          <w:szCs w:val="22"/>
          <w:lang w:eastAsia="en-US"/>
        </w:rPr>
      </w:pPr>
      <w:r w:rsidRPr="00D80AAC">
        <w:rPr>
          <w:rFonts w:ascii="Calibri" w:eastAsia="Calibri" w:hAnsi="Calibri"/>
          <w:i/>
          <w:sz w:val="22"/>
          <w:szCs w:val="22"/>
          <w:lang w:eastAsia="en-US"/>
        </w:rPr>
        <w:t xml:space="preserve">„Az Önkormányzat a településképi rendeletben a (2) bekezdés szerinti településképi követelmények megszegése vagy végre nem hajtása esetére e magatartás elkövetőjével szemben településkép-védelmi bírságot szab ki magyar építészetről szóló 2023. évi C. törvényben </w:t>
      </w:r>
      <w:proofErr w:type="spellStart"/>
      <w:r w:rsidRPr="00D80AAC">
        <w:rPr>
          <w:rFonts w:ascii="Calibri" w:eastAsia="Calibri" w:hAnsi="Calibri"/>
          <w:i/>
          <w:sz w:val="22"/>
          <w:szCs w:val="22"/>
          <w:lang w:eastAsia="en-US"/>
        </w:rPr>
        <w:t>megfogalmazottak</w:t>
      </w:r>
      <w:proofErr w:type="spellEnd"/>
      <w:r w:rsidRPr="00D80AAC">
        <w:rPr>
          <w:rFonts w:ascii="Calibri" w:eastAsia="Calibri" w:hAnsi="Calibri"/>
          <w:i/>
          <w:sz w:val="22"/>
          <w:szCs w:val="22"/>
          <w:lang w:eastAsia="en-US"/>
        </w:rPr>
        <w:t xml:space="preserve"> szerint.”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sz w:val="22"/>
          <w:szCs w:val="22"/>
          <w:u w:val="single"/>
          <w:lang w:eastAsia="en-US"/>
        </w:rPr>
      </w:pPr>
      <w:r w:rsidRPr="00D80AAC">
        <w:rPr>
          <w:rFonts w:ascii="Calibri" w:eastAsia="Calibri" w:hAnsi="Calibri"/>
          <w:sz w:val="22"/>
          <w:szCs w:val="22"/>
          <w:u w:val="single"/>
          <w:lang w:eastAsia="en-US"/>
        </w:rPr>
        <w:t>Az előírások felülvizsgálatában tett javaslatok: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D80AAC">
        <w:rPr>
          <w:rFonts w:ascii="Calibri" w:eastAsia="Calibri" w:hAnsi="Calibri"/>
          <w:sz w:val="22"/>
          <w:szCs w:val="22"/>
          <w:lang w:eastAsia="en-US"/>
        </w:rPr>
        <w:t>A védett épületeken kihelyezendő klíma kültéri egységek szabályozása miatt, a 14. §-</w:t>
      </w:r>
      <w:proofErr w:type="spellStart"/>
      <w:r w:rsidRPr="00D80AAC">
        <w:rPr>
          <w:rFonts w:ascii="Calibri" w:eastAsia="Calibri" w:hAnsi="Calibri"/>
          <w:sz w:val="22"/>
          <w:szCs w:val="22"/>
          <w:lang w:eastAsia="en-US"/>
        </w:rPr>
        <w:t>ba</w:t>
      </w:r>
      <w:proofErr w:type="spellEnd"/>
      <w:r w:rsidRPr="00D80AAC">
        <w:rPr>
          <w:rFonts w:ascii="Calibri" w:eastAsia="Calibri" w:hAnsi="Calibri"/>
          <w:sz w:val="22"/>
          <w:szCs w:val="22"/>
          <w:lang w:eastAsia="en-US"/>
        </w:rPr>
        <w:t xml:space="preserve"> egy új 17. pont beszúrása szükséges: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i/>
          <w:sz w:val="22"/>
          <w:szCs w:val="22"/>
          <w:lang w:eastAsia="en-US"/>
        </w:rPr>
      </w:pPr>
      <w:r w:rsidRPr="00D80AAC">
        <w:rPr>
          <w:rFonts w:ascii="Calibri" w:eastAsia="Calibri" w:hAnsi="Calibri"/>
          <w:i/>
          <w:sz w:val="22"/>
          <w:szCs w:val="22"/>
          <w:lang w:eastAsia="en-US"/>
        </w:rPr>
        <w:t xml:space="preserve">„(17) Védett épület közterületről látható homlokzatára klíma kültéri egység nem helyezhető el (amennyiben máshogy nem megoldható a </w:t>
      </w:r>
      <w:proofErr w:type="spellStart"/>
      <w:r w:rsidRPr="00D80AAC">
        <w:rPr>
          <w:rFonts w:ascii="Calibri" w:eastAsia="Calibri" w:hAnsi="Calibri"/>
          <w:i/>
          <w:sz w:val="22"/>
          <w:szCs w:val="22"/>
          <w:lang w:eastAsia="en-US"/>
        </w:rPr>
        <w:t>klimatizálás</w:t>
      </w:r>
      <w:proofErr w:type="spellEnd"/>
      <w:r w:rsidRPr="00D80AAC">
        <w:rPr>
          <w:rFonts w:ascii="Calibri" w:eastAsia="Calibri" w:hAnsi="Calibri"/>
          <w:i/>
          <w:sz w:val="22"/>
          <w:szCs w:val="22"/>
          <w:lang w:eastAsia="en-US"/>
        </w:rPr>
        <w:t xml:space="preserve">, javasolt </w:t>
      </w:r>
      <w:proofErr w:type="spellStart"/>
      <w:r w:rsidRPr="00D80AAC">
        <w:rPr>
          <w:rFonts w:ascii="Calibri" w:eastAsia="Calibri" w:hAnsi="Calibri"/>
          <w:i/>
          <w:sz w:val="22"/>
          <w:szCs w:val="22"/>
          <w:lang w:eastAsia="en-US"/>
        </w:rPr>
        <w:t>monoblokkos</w:t>
      </w:r>
      <w:proofErr w:type="spellEnd"/>
      <w:r w:rsidRPr="00D80AAC">
        <w:rPr>
          <w:rFonts w:ascii="Calibri" w:eastAsia="Calibri" w:hAnsi="Calibri"/>
          <w:i/>
          <w:sz w:val="22"/>
          <w:szCs w:val="22"/>
          <w:lang w:eastAsia="en-US"/>
        </w:rPr>
        <w:t xml:space="preserve"> klímaberendezés alkalmazása).”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D80AAC">
        <w:rPr>
          <w:rFonts w:ascii="Calibri" w:eastAsia="Calibri" w:hAnsi="Calibri"/>
          <w:sz w:val="22"/>
          <w:szCs w:val="22"/>
          <w:lang w:eastAsia="en-US"/>
        </w:rPr>
        <w:t>A mobilházak megjelenésének szabályozása miatt a 17. § (1) bekezdésébe egy új (n) pont beszúrása szükséges: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i/>
          <w:sz w:val="22"/>
          <w:szCs w:val="22"/>
          <w:lang w:eastAsia="en-US"/>
        </w:rPr>
      </w:pPr>
      <w:r w:rsidRPr="00D80AAC">
        <w:rPr>
          <w:rFonts w:ascii="Calibri" w:eastAsia="Calibri" w:hAnsi="Calibri"/>
          <w:i/>
          <w:sz w:val="22"/>
          <w:szCs w:val="22"/>
          <w:lang w:eastAsia="en-US"/>
        </w:rPr>
        <w:t>„n)</w:t>
      </w:r>
      <w:r w:rsidRPr="00D80AAC">
        <w:rPr>
          <w:rFonts w:ascii="Calibri" w:eastAsia="Calibri" w:hAnsi="Calibri"/>
          <w:i/>
          <w:sz w:val="22"/>
          <w:szCs w:val="22"/>
          <w:lang w:eastAsia="en-US"/>
        </w:rPr>
        <w:tab/>
        <w:t xml:space="preserve"> A mobilház megjelenését a környezetében fekvő ingatlanokon található épületekhez illeszkedve kell megvalósítani, azon látható (homlokzaton, tetőfelületen) fémburkolat, szendvicspanel nem alkalmazható.”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D80AAC">
        <w:rPr>
          <w:rFonts w:ascii="Calibri" w:eastAsia="Calibri" w:hAnsi="Calibri"/>
          <w:sz w:val="22"/>
          <w:szCs w:val="22"/>
          <w:lang w:eastAsia="en-US"/>
        </w:rPr>
        <w:t>Mivel az új előírások alapján a csomagautomaták engedélyezésének lehetősége megszűnik, azok szabályozását egyértelművé kell tenni, hogy a szabálytalanokkal szembeni szankcionálás egyértelmű lehessen. Ezért a 24. § (6) pontjának módosítása szükséges: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D80AAC">
        <w:rPr>
          <w:rFonts w:ascii="Calibri" w:eastAsia="Calibri" w:hAnsi="Calibri"/>
          <w:sz w:val="22"/>
          <w:szCs w:val="22"/>
          <w:lang w:eastAsia="en-US"/>
        </w:rPr>
        <w:t xml:space="preserve">Jelenlegi: </w:t>
      </w:r>
      <w:r w:rsidRPr="00D80AAC">
        <w:rPr>
          <w:rFonts w:ascii="Calibri" w:eastAsia="Calibri" w:hAnsi="Calibri"/>
          <w:i/>
          <w:sz w:val="22"/>
          <w:szCs w:val="22"/>
          <w:lang w:eastAsia="en-US"/>
        </w:rPr>
        <w:t>„(6)</w:t>
      </w:r>
      <w:r w:rsidRPr="00D80AAC">
        <w:rPr>
          <w:rFonts w:ascii="Calibri" w:eastAsia="Calibri" w:hAnsi="Calibri"/>
          <w:i/>
          <w:sz w:val="22"/>
          <w:szCs w:val="22"/>
          <w:lang w:eastAsia="en-US"/>
        </w:rPr>
        <w:tab/>
        <w:t>Dunakeszi Város közigazgatási területén csomagkiadó automatákat lehetőség szerint épületen belül, vagy épületek fala mellé közvetlenül, hosszában a fallal párhuzamosan kell elhelyezni, amennyiben a közhasználatra megnyitott területen a jármű, vagy gyalogos forgalmat nem akadályozza.”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i/>
          <w:sz w:val="22"/>
          <w:szCs w:val="22"/>
          <w:lang w:eastAsia="en-US"/>
        </w:rPr>
      </w:pPr>
      <w:r w:rsidRPr="00D80AAC">
        <w:rPr>
          <w:rFonts w:ascii="Calibri" w:eastAsia="Calibri" w:hAnsi="Calibri"/>
          <w:bCs/>
          <w:sz w:val="22"/>
          <w:szCs w:val="22"/>
          <w:lang w:eastAsia="en-US"/>
        </w:rPr>
        <w:t>Javasolt:</w:t>
      </w:r>
      <w:r w:rsidRPr="00D80AAC">
        <w:rPr>
          <w:rFonts w:ascii="Calibri" w:eastAsia="Calibri" w:hAnsi="Calibri"/>
          <w:bCs/>
          <w:i/>
          <w:sz w:val="22"/>
          <w:szCs w:val="22"/>
          <w:lang w:eastAsia="en-US"/>
        </w:rPr>
        <w:t>„(6) Dunakeszi Város közigazgatási területén csomagkiadó automatákat (amennyiben nem épületen belül kerül elhelyezésre) kizárólag fő rendeltetésű épületek fala mellé közvetlenül, hosszában, a fallal párhuzamosan lehet elhelyezni, amennyiben a közhasználatra megnyitott területen a jármű, vagy gyalogos forgalmat nem akadályozza</w:t>
      </w:r>
      <w:r w:rsidRPr="00D80AAC">
        <w:rPr>
          <w:rFonts w:ascii="Calibri" w:eastAsia="Calibri" w:hAnsi="Calibri"/>
          <w:i/>
          <w:sz w:val="22"/>
          <w:szCs w:val="22"/>
          <w:lang w:eastAsia="en-US"/>
        </w:rPr>
        <w:t>. Beépítetlen ingatlanokon önállóan csomagkiadó automatát elhelyezni nem lehet.”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D80AAC">
        <w:rPr>
          <w:rFonts w:ascii="Calibri" w:eastAsia="Calibri" w:hAnsi="Calibri"/>
          <w:sz w:val="22"/>
          <w:szCs w:val="22"/>
          <w:lang w:eastAsia="en-US"/>
        </w:rPr>
        <w:t xml:space="preserve"> - Az előkertben elhelyezendő személygépkocsi tárolók – amelyekre a Helyi Építési Szabályzat lehetőséget ad – anyaghasználatát jelen rendeletbe át kell emelni. Ehhez egy új pont beszúrása szükséges: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i/>
          <w:sz w:val="22"/>
          <w:szCs w:val="22"/>
          <w:lang w:eastAsia="en-US"/>
        </w:rPr>
      </w:pPr>
      <w:r w:rsidRPr="00D80AAC">
        <w:rPr>
          <w:rFonts w:ascii="Calibri" w:eastAsia="Calibri" w:hAnsi="Calibri"/>
          <w:i/>
          <w:sz w:val="22"/>
          <w:szCs w:val="22"/>
          <w:lang w:eastAsia="en-US"/>
        </w:rPr>
        <w:t xml:space="preserve">„17. § (1) m) közterületről látható helyen elhelyezendő lábakon álló fedett nyitott </w:t>
      </w:r>
      <w:proofErr w:type="spellStart"/>
      <w:r w:rsidRPr="00D80AAC">
        <w:rPr>
          <w:rFonts w:ascii="Calibri" w:eastAsia="Calibri" w:hAnsi="Calibri"/>
          <w:i/>
          <w:sz w:val="22"/>
          <w:szCs w:val="22"/>
          <w:lang w:eastAsia="en-US"/>
        </w:rPr>
        <w:t>szgk</w:t>
      </w:r>
      <w:proofErr w:type="spellEnd"/>
      <w:r w:rsidRPr="00D80AAC">
        <w:rPr>
          <w:rFonts w:ascii="Calibri" w:eastAsia="Calibri" w:hAnsi="Calibri"/>
          <w:i/>
          <w:sz w:val="22"/>
          <w:szCs w:val="22"/>
          <w:lang w:eastAsia="en-US"/>
        </w:rPr>
        <w:t>. beálló lakó-, vegyes-, és üdülő területeken fa szerkezettel kell megvalósítani.”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D80AAC">
        <w:rPr>
          <w:rFonts w:ascii="Calibri" w:eastAsia="Calibri" w:hAnsi="Calibri"/>
          <w:sz w:val="22"/>
          <w:szCs w:val="22"/>
          <w:lang w:eastAsia="en-US"/>
        </w:rPr>
        <w:t xml:space="preserve"> - A főépületek </w:t>
      </w:r>
      <w:proofErr w:type="spellStart"/>
      <w:r w:rsidRPr="00D80AAC">
        <w:rPr>
          <w:rFonts w:ascii="Calibri" w:eastAsia="Calibri" w:hAnsi="Calibri"/>
          <w:sz w:val="22"/>
          <w:szCs w:val="22"/>
          <w:lang w:eastAsia="en-US"/>
        </w:rPr>
        <w:t>tetőhéjalását</w:t>
      </w:r>
      <w:proofErr w:type="spellEnd"/>
      <w:r w:rsidRPr="00D80AAC">
        <w:rPr>
          <w:rFonts w:ascii="Calibri" w:eastAsia="Calibri" w:hAnsi="Calibri"/>
          <w:sz w:val="22"/>
          <w:szCs w:val="22"/>
          <w:lang w:eastAsia="en-US"/>
        </w:rPr>
        <w:t xml:space="preserve"> a Rendelet 17. § (1) d) pontja a következő módon határozza meg: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i/>
          <w:sz w:val="22"/>
          <w:szCs w:val="22"/>
          <w:lang w:eastAsia="en-US"/>
        </w:rPr>
      </w:pPr>
      <w:r w:rsidRPr="00D80AAC">
        <w:rPr>
          <w:rFonts w:ascii="Calibri" w:eastAsia="Calibri" w:hAnsi="Calibri"/>
          <w:i/>
          <w:sz w:val="22"/>
          <w:szCs w:val="22"/>
          <w:lang w:eastAsia="en-US"/>
        </w:rPr>
        <w:t>„Fő rendeltetésű épület tetőhéjalásnál hullámpala, hullámlemez, trapézlemez, műanyaglemez nem alkalmazható.”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D80AAC">
        <w:rPr>
          <w:rFonts w:ascii="Calibri" w:eastAsia="Calibri" w:hAnsi="Calibri"/>
          <w:sz w:val="22"/>
          <w:szCs w:val="22"/>
          <w:lang w:eastAsia="en-US"/>
        </w:rPr>
        <w:t>Az előírásban a télikertek tekintetében engedélyezhető legyen az átlátszó műanyag fedés (polikarbonát). Módosított bekezdés: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i/>
          <w:sz w:val="22"/>
          <w:szCs w:val="22"/>
          <w:lang w:eastAsia="en-US"/>
        </w:rPr>
      </w:pPr>
      <w:r w:rsidRPr="00D80AAC">
        <w:rPr>
          <w:rFonts w:ascii="Calibri" w:eastAsia="Calibri" w:hAnsi="Calibri"/>
          <w:i/>
          <w:sz w:val="22"/>
          <w:szCs w:val="22"/>
          <w:lang w:eastAsia="en-US"/>
        </w:rPr>
        <w:t xml:space="preserve">„Fő rendeltetésű épület tetőhéjalásnál hullámpala, hullámlemez, trapézlemez, műanyaglemez nem alkalmazható, kivéve az épülethez kapcsolódó télikert, terasz </w:t>
      </w:r>
      <w:proofErr w:type="spellStart"/>
      <w:r w:rsidRPr="00D80AAC">
        <w:rPr>
          <w:rFonts w:ascii="Calibri" w:eastAsia="Calibri" w:hAnsi="Calibri"/>
          <w:i/>
          <w:sz w:val="22"/>
          <w:szCs w:val="22"/>
          <w:lang w:eastAsia="en-US"/>
        </w:rPr>
        <w:t>héjalása</w:t>
      </w:r>
      <w:proofErr w:type="spellEnd"/>
      <w:r w:rsidRPr="00D80AAC">
        <w:rPr>
          <w:rFonts w:ascii="Calibri" w:eastAsia="Calibri" w:hAnsi="Calibri"/>
          <w:i/>
          <w:sz w:val="22"/>
          <w:szCs w:val="22"/>
          <w:lang w:eastAsia="en-US"/>
        </w:rPr>
        <w:t>, ahol az átlátszó műanyag fedés (pl.: polikarbonát) is engedélyezhető.”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D80AAC">
        <w:rPr>
          <w:rFonts w:ascii="Calibri" w:eastAsia="Calibri" w:hAnsi="Calibri"/>
          <w:sz w:val="22"/>
          <w:szCs w:val="22"/>
          <w:lang w:eastAsia="en-US"/>
        </w:rPr>
        <w:t xml:space="preserve"> - Utcafronti kerítésekről a Rendelet 19. § (1) pontja a következő módon rendelkezik: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i/>
          <w:sz w:val="22"/>
          <w:szCs w:val="22"/>
          <w:lang w:eastAsia="en-US"/>
        </w:rPr>
      </w:pPr>
      <w:r w:rsidRPr="00D80AAC">
        <w:rPr>
          <w:rFonts w:ascii="Calibri" w:eastAsia="Calibri" w:hAnsi="Calibri"/>
          <w:i/>
          <w:sz w:val="22"/>
          <w:szCs w:val="22"/>
          <w:lang w:eastAsia="en-US"/>
        </w:rPr>
        <w:lastRenderedPageBreak/>
        <w:t xml:space="preserve">„Utcafronti telekhatár mentén a tömör és nem tömör kerítés magassága a 2,0 métert nem haladhatja meg támfalra épített kerítés esetén sem. Támfalra épített kerítés magasságát a magasabban fekvő terep szintjétől kell számítani. Nem tömör kerítés </w:t>
      </w:r>
      <w:proofErr w:type="gramStart"/>
      <w:r w:rsidRPr="00D80AAC">
        <w:rPr>
          <w:rFonts w:ascii="Calibri" w:eastAsia="Calibri" w:hAnsi="Calibri"/>
          <w:i/>
          <w:sz w:val="22"/>
          <w:szCs w:val="22"/>
          <w:lang w:eastAsia="en-US"/>
        </w:rPr>
        <w:t>esetén</w:t>
      </w:r>
      <w:proofErr w:type="gramEnd"/>
      <w:r w:rsidRPr="00D80AAC">
        <w:rPr>
          <w:rFonts w:ascii="Calibri" w:eastAsia="Calibri" w:hAnsi="Calibri"/>
          <w:i/>
          <w:sz w:val="22"/>
          <w:szCs w:val="22"/>
          <w:lang w:eastAsia="en-US"/>
        </w:rPr>
        <w:t xml:space="preserve"> az utcafronti homlokvonalon a lábazat sehol sem haladhatja meg a terepszintjétől mért 50 cm-t.”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D80AAC">
        <w:rPr>
          <w:rFonts w:ascii="Calibri" w:eastAsia="Calibri" w:hAnsi="Calibri"/>
          <w:sz w:val="22"/>
          <w:szCs w:val="22"/>
          <w:lang w:eastAsia="en-US"/>
        </w:rPr>
        <w:t>A zárt utcaképek elkerülése érdekében, legalább a v</w:t>
      </w:r>
      <w:r w:rsidRPr="00D80AAC">
        <w:rPr>
          <w:rFonts w:ascii="Calibri" w:eastAsia="Calibri" w:hAnsi="Calibri"/>
          <w:bCs/>
          <w:iCs/>
          <w:sz w:val="22"/>
          <w:szCs w:val="22"/>
          <w:lang w:eastAsia="en-US"/>
        </w:rPr>
        <w:t>ároskép feltárulása szempontjából kiemelt útvonalak/terek mentén legfeljebb 50 %-</w:t>
      </w:r>
      <w:proofErr w:type="spellStart"/>
      <w:r w:rsidRPr="00D80AAC">
        <w:rPr>
          <w:rFonts w:ascii="Calibri" w:eastAsia="Calibri" w:hAnsi="Calibri"/>
          <w:bCs/>
          <w:iCs/>
          <w:sz w:val="22"/>
          <w:szCs w:val="22"/>
          <w:lang w:eastAsia="en-US"/>
        </w:rPr>
        <w:t>ban</w:t>
      </w:r>
      <w:proofErr w:type="spellEnd"/>
      <w:r w:rsidRPr="00D80AAC">
        <w:rPr>
          <w:rFonts w:ascii="Calibri" w:eastAsia="Calibri" w:hAnsi="Calibri"/>
          <w:bCs/>
          <w:iCs/>
          <w:sz w:val="22"/>
          <w:szCs w:val="22"/>
          <w:lang w:eastAsia="en-US"/>
        </w:rPr>
        <w:t xml:space="preserve"> tömör kerítéseket lehessen megvalósítani. Új (7) pont beszúrása: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i/>
          <w:sz w:val="22"/>
          <w:szCs w:val="22"/>
          <w:lang w:eastAsia="en-US"/>
        </w:rPr>
      </w:pPr>
      <w:r w:rsidRPr="00D80AAC">
        <w:rPr>
          <w:rFonts w:ascii="Calibri" w:eastAsia="Calibri" w:hAnsi="Calibri"/>
          <w:i/>
          <w:sz w:val="22"/>
          <w:szCs w:val="22"/>
          <w:lang w:eastAsia="en-US"/>
        </w:rPr>
        <w:t>„Utcafronti telekhatár mentén a városkép feltárulása szempontjából kiemelt útvonalak/terek mentén legalább 50 %-</w:t>
      </w:r>
      <w:proofErr w:type="spellStart"/>
      <w:r w:rsidRPr="00D80AAC">
        <w:rPr>
          <w:rFonts w:ascii="Calibri" w:eastAsia="Calibri" w:hAnsi="Calibri"/>
          <w:i/>
          <w:sz w:val="22"/>
          <w:szCs w:val="22"/>
          <w:lang w:eastAsia="en-US"/>
        </w:rPr>
        <w:t>ban</w:t>
      </w:r>
      <w:proofErr w:type="spellEnd"/>
      <w:r w:rsidRPr="00D80AAC">
        <w:rPr>
          <w:rFonts w:ascii="Calibri" w:eastAsia="Calibri" w:hAnsi="Calibri"/>
          <w:i/>
          <w:sz w:val="22"/>
          <w:szCs w:val="22"/>
          <w:lang w:eastAsia="en-US"/>
        </w:rPr>
        <w:t xml:space="preserve"> áttört kerítés építhető, vagyis a kerítés síkjára merőleges átláthatósága annak felületéhez képest legfeljebb 50%-</w:t>
      </w:r>
      <w:proofErr w:type="spellStart"/>
      <w:r w:rsidRPr="00D80AAC">
        <w:rPr>
          <w:rFonts w:ascii="Calibri" w:eastAsia="Calibri" w:hAnsi="Calibri"/>
          <w:i/>
          <w:sz w:val="22"/>
          <w:szCs w:val="22"/>
          <w:lang w:eastAsia="en-US"/>
        </w:rPr>
        <w:t>ban</w:t>
      </w:r>
      <w:proofErr w:type="spellEnd"/>
      <w:r w:rsidRPr="00D80AAC">
        <w:rPr>
          <w:rFonts w:ascii="Calibri" w:eastAsia="Calibri" w:hAnsi="Calibri"/>
          <w:i/>
          <w:sz w:val="22"/>
          <w:szCs w:val="22"/>
          <w:lang w:eastAsia="en-US"/>
        </w:rPr>
        <w:t xml:space="preserve"> korlátozható. Ez alól kivétel a „zöld fal”, mint futónövénnyel zártan befuttatható kerítés/kerítéselem, azzal a </w:t>
      </w:r>
      <w:proofErr w:type="gramStart"/>
      <w:r w:rsidRPr="00D80AAC">
        <w:rPr>
          <w:rFonts w:ascii="Calibri" w:eastAsia="Calibri" w:hAnsi="Calibri"/>
          <w:i/>
          <w:sz w:val="22"/>
          <w:szCs w:val="22"/>
          <w:lang w:eastAsia="en-US"/>
        </w:rPr>
        <w:t>megkötéssel</w:t>
      </w:r>
      <w:proofErr w:type="gramEnd"/>
      <w:r w:rsidRPr="00D80AAC">
        <w:rPr>
          <w:rFonts w:ascii="Calibri" w:eastAsia="Calibri" w:hAnsi="Calibri"/>
          <w:i/>
          <w:sz w:val="22"/>
          <w:szCs w:val="22"/>
          <w:lang w:eastAsia="en-US"/>
        </w:rPr>
        <w:t xml:space="preserve"> hogy a kerítés/kerítéselem, amire a növényzet fel van futtatva, szintén legalább 50%-</w:t>
      </w:r>
      <w:proofErr w:type="spellStart"/>
      <w:r w:rsidRPr="00D80AAC">
        <w:rPr>
          <w:rFonts w:ascii="Calibri" w:eastAsia="Calibri" w:hAnsi="Calibri"/>
          <w:i/>
          <w:sz w:val="22"/>
          <w:szCs w:val="22"/>
          <w:lang w:eastAsia="en-US"/>
        </w:rPr>
        <w:t>ban</w:t>
      </w:r>
      <w:proofErr w:type="spellEnd"/>
      <w:r w:rsidRPr="00D80AAC">
        <w:rPr>
          <w:rFonts w:ascii="Calibri" w:eastAsia="Calibri" w:hAnsi="Calibri"/>
          <w:i/>
          <w:sz w:val="22"/>
          <w:szCs w:val="22"/>
          <w:lang w:eastAsia="en-US"/>
        </w:rPr>
        <w:t xml:space="preserve"> áttörtnek kell lennie..”</w:t>
      </w:r>
    </w:p>
    <w:p w:rsidR="00987D9D" w:rsidRPr="00D80AAC" w:rsidRDefault="00987D9D" w:rsidP="00987D9D">
      <w:pPr>
        <w:tabs>
          <w:tab w:val="center" w:pos="4513"/>
        </w:tabs>
        <w:suppressAutoHyphens/>
        <w:autoSpaceDN w:val="0"/>
        <w:spacing w:after="160" w:line="251" w:lineRule="auto"/>
        <w:jc w:val="both"/>
        <w:textAlignment w:val="baseline"/>
        <w:rPr>
          <w:rFonts w:ascii="Calibri" w:eastAsia="Calibri" w:hAnsi="Calibri"/>
          <w:sz w:val="22"/>
          <w:szCs w:val="22"/>
          <w:u w:val="single"/>
          <w:lang w:eastAsia="en-US"/>
        </w:rPr>
      </w:pPr>
      <w:r w:rsidRPr="00D80AAC">
        <w:rPr>
          <w:rFonts w:ascii="Calibri" w:eastAsia="Calibri" w:hAnsi="Calibri"/>
          <w:sz w:val="22"/>
          <w:szCs w:val="22"/>
          <w:u w:val="single"/>
          <w:lang w:eastAsia="en-US"/>
        </w:rPr>
        <w:t>Az alkalmazást segítő, a rendeletet egyértelműsítő módosítási javaslatok:</w:t>
      </w:r>
    </w:p>
    <w:p w:rsidR="00987D9D" w:rsidRPr="00D80AAC" w:rsidRDefault="00987D9D" w:rsidP="00987D9D">
      <w:pPr>
        <w:suppressAutoHyphens/>
        <w:autoSpaceDN w:val="0"/>
        <w:spacing w:after="160" w:line="251" w:lineRule="auto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r w:rsidRPr="00D80AAC">
        <w:rPr>
          <w:rFonts w:ascii="Calibri" w:eastAsia="Calibri" w:hAnsi="Calibri"/>
          <w:sz w:val="22"/>
          <w:szCs w:val="22"/>
          <w:lang w:eastAsia="en-US"/>
        </w:rPr>
        <w:t xml:space="preserve"> - A 24.§ (4) bekezdés hivatkozása </w:t>
      </w:r>
      <w:r w:rsidRPr="00D80AAC">
        <w:rPr>
          <w:rFonts w:ascii="Calibri" w:eastAsia="Calibri" w:hAnsi="Calibri"/>
          <w:i/>
          <w:sz w:val="22"/>
          <w:szCs w:val="22"/>
          <w:lang w:eastAsia="en-US"/>
        </w:rPr>
        <w:t>„(1) és (2) bekezdések”</w:t>
      </w:r>
      <w:r w:rsidRPr="00D80AAC">
        <w:rPr>
          <w:rFonts w:ascii="Calibri" w:eastAsia="Calibri" w:hAnsi="Calibri"/>
          <w:sz w:val="22"/>
          <w:szCs w:val="22"/>
          <w:lang w:eastAsia="en-US"/>
        </w:rPr>
        <w:t xml:space="preserve"> helyett helyesen: </w:t>
      </w:r>
      <w:r w:rsidRPr="00D80AAC">
        <w:rPr>
          <w:rFonts w:ascii="Calibri" w:eastAsia="Calibri" w:hAnsi="Calibri"/>
          <w:i/>
          <w:sz w:val="22"/>
          <w:szCs w:val="22"/>
          <w:lang w:eastAsia="en-US"/>
        </w:rPr>
        <w:t>„(2) és (3) bekezdések”.</w:t>
      </w:r>
    </w:p>
    <w:p w:rsidR="00987D9D" w:rsidRDefault="00987D9D" w:rsidP="00987D9D">
      <w:pPr>
        <w:jc w:val="both"/>
        <w:rPr>
          <w:rFonts w:cs="Arial"/>
          <w:b/>
        </w:rPr>
      </w:pPr>
    </w:p>
    <w:p w:rsidR="00987D9D" w:rsidRPr="00B865D7" w:rsidRDefault="00987D9D" w:rsidP="00987D9D">
      <w:pPr>
        <w:jc w:val="both"/>
        <w:rPr>
          <w:rFonts w:cs="Arial"/>
        </w:rPr>
      </w:pPr>
      <w:r w:rsidRPr="00B865D7">
        <w:rPr>
          <w:rFonts w:cs="Arial"/>
        </w:rPr>
        <w:t xml:space="preserve">Dunakeszi, </w:t>
      </w:r>
      <w:r>
        <w:rPr>
          <w:rFonts w:cs="Arial"/>
        </w:rPr>
        <w:t>2025.04.15.</w:t>
      </w:r>
    </w:p>
    <w:p w:rsidR="00987D9D" w:rsidRPr="00B865D7" w:rsidRDefault="00987D9D" w:rsidP="00987D9D">
      <w:pPr>
        <w:widowControl w:val="0"/>
        <w:adjustRightInd w:val="0"/>
        <w:spacing w:line="360" w:lineRule="atLeast"/>
        <w:ind w:right="141"/>
        <w:textAlignment w:val="baseline"/>
        <w:rPr>
          <w:rFonts w:cs="Arial"/>
        </w:rPr>
      </w:pPr>
    </w:p>
    <w:p w:rsidR="00987D9D" w:rsidRPr="00FB081E" w:rsidRDefault="00987D9D" w:rsidP="00987D9D">
      <w:pPr>
        <w:widowControl w:val="0"/>
        <w:tabs>
          <w:tab w:val="left" w:pos="3402"/>
          <w:tab w:val="left" w:pos="6804"/>
        </w:tabs>
        <w:adjustRightInd w:val="0"/>
        <w:ind w:right="142"/>
        <w:textAlignment w:val="baseline"/>
      </w:pPr>
      <w:r>
        <w:tab/>
      </w:r>
      <w:r w:rsidRPr="00FB081E">
        <w:t>A</w:t>
      </w:r>
      <w:r>
        <w:t>z összefoglalót</w:t>
      </w:r>
      <w:r w:rsidRPr="00FB081E">
        <w:t xml:space="preserve"> készítette: </w:t>
      </w:r>
      <w:r w:rsidRPr="00FB081E">
        <w:tab/>
      </w:r>
      <w:proofErr w:type="gramStart"/>
      <w:r w:rsidRPr="00FB081E">
        <w:t>………………………</w:t>
      </w:r>
      <w:proofErr w:type="gramEnd"/>
    </w:p>
    <w:p w:rsidR="00987D9D" w:rsidRDefault="00987D9D" w:rsidP="00987D9D">
      <w:pPr>
        <w:widowControl w:val="0"/>
        <w:tabs>
          <w:tab w:val="left" w:pos="3402"/>
          <w:tab w:val="left" w:pos="6804"/>
        </w:tabs>
        <w:adjustRightInd w:val="0"/>
        <w:ind w:left="2124" w:right="142" w:firstLine="708"/>
        <w:textAlignment w:val="baseline"/>
      </w:pPr>
      <w:r>
        <w:tab/>
      </w:r>
      <w:r>
        <w:tab/>
        <w:t>Passa Gábor</w:t>
      </w:r>
      <w:r w:rsidRPr="00FB081E">
        <w:t xml:space="preserve"> </w:t>
      </w:r>
      <w:proofErr w:type="spellStart"/>
      <w:r w:rsidRPr="00FB081E">
        <w:t>főépítész</w:t>
      </w:r>
      <w:proofErr w:type="spellEnd"/>
    </w:p>
    <w:p w:rsidR="00987D9D" w:rsidRPr="009641F5" w:rsidRDefault="00987D9D" w:rsidP="00987D9D"/>
    <w:p w:rsidR="006D3EA5" w:rsidRDefault="00987D9D">
      <w:bookmarkStart w:id="0" w:name="_GoBack"/>
      <w:bookmarkEnd w:id="0"/>
    </w:p>
    <w:sectPr w:rsidR="006D3EA5" w:rsidSect="009641F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D9D"/>
    <w:rsid w:val="00046F8B"/>
    <w:rsid w:val="00987D9D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5185E2-52D8-496E-B846-2BDED0FCA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87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1039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2025-04-23T13:36:00Z</dcterms:created>
  <dcterms:modified xsi:type="dcterms:W3CDTF">2025-04-23T13:37:00Z</dcterms:modified>
</cp:coreProperties>
</file>